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02E286" wp14:editId="2DB9200D">
            <wp:simplePos x="0" y="0"/>
            <wp:positionH relativeFrom="column">
              <wp:posOffset>2609850</wp:posOffset>
            </wp:positionH>
            <wp:positionV relativeFrom="paragraph">
              <wp:posOffset>8255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ГОРОДА СЕРДОБСКА </w:t>
      </w:r>
      <w:proofErr w:type="gramStart"/>
      <w:r w:rsidRPr="009931E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C</w:t>
      </w:r>
      <w:proofErr w:type="gramEnd"/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ЕРДОБСКОГО РАЙОНА </w:t>
      </w:r>
      <w:r w:rsidRPr="009931E2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ПЕНЗЕНСКой ОБЛАСТи</w:t>
      </w: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C3324" w:rsidRPr="009931E2" w:rsidRDefault="004C3324" w:rsidP="004C3324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324" w:rsidRPr="009931E2" w:rsidRDefault="00EE1B4A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6B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01.09.2025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6B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414</w:t>
      </w:r>
    </w:p>
    <w:p w:rsidR="004C3324" w:rsidRPr="009931E2" w:rsidRDefault="004C3324" w:rsidP="004C3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Сердобск</w:t>
      </w:r>
    </w:p>
    <w:p w:rsidR="004C3324" w:rsidRPr="009931E2" w:rsidRDefault="004C3324" w:rsidP="004C3324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24" w:rsidRPr="00E56D6F" w:rsidRDefault="004C3324" w:rsidP="004C3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B648B7">
        <w:rPr>
          <w:rFonts w:ascii="Times New Roman" w:hAnsi="Times New Roman"/>
          <w:bCs/>
          <w:sz w:val="28"/>
          <w:szCs w:val="28"/>
        </w:rPr>
        <w:t>Об установлении публичного сервитута в отношении частей земельных участков в целях размещения линейного объекта системы газоснабжения</w:t>
      </w:r>
      <w:r>
        <w:rPr>
          <w:rFonts w:ascii="Times New Roman" w:hAnsi="Times New Roman"/>
          <w:bCs/>
          <w:sz w:val="28"/>
          <w:szCs w:val="28"/>
        </w:rPr>
        <w:t xml:space="preserve">:                  </w:t>
      </w:r>
      <w:r w:rsidRPr="00E56D6F">
        <w:rPr>
          <w:rFonts w:ascii="Times New Roman" w:hAnsi="Times New Roman" w:cs="Times New Roman"/>
          <w:bCs/>
          <w:sz w:val="28"/>
          <w:szCs w:val="28"/>
        </w:rPr>
        <w:t>«</w:t>
      </w:r>
      <w:r w:rsidR="00E56D6F" w:rsidRPr="00E56D6F">
        <w:rPr>
          <w:rFonts w:ascii="Times New Roman" w:hAnsi="Times New Roman" w:cs="Times New Roman"/>
          <w:bCs/>
          <w:sz w:val="28"/>
          <w:szCs w:val="28"/>
        </w:rPr>
        <w:t>С</w:t>
      </w:r>
      <w:r w:rsidR="00E56D6F" w:rsidRPr="00E56D6F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</w:t>
      </w:r>
      <w:bookmarkStart w:id="0" w:name="dst2048"/>
      <w:bookmarkEnd w:id="0"/>
      <w:r w:rsidR="00E56D6F" w:rsidRPr="00E56D6F">
        <w:rPr>
          <w:rFonts w:ascii="Times New Roman" w:hAnsi="Times New Roman" w:cs="Times New Roman"/>
          <w:sz w:val="28"/>
          <w:szCs w:val="28"/>
        </w:rPr>
        <w:t xml:space="preserve"> «</w:t>
      </w:r>
      <w:r w:rsid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Газопровод </w:t>
      </w:r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низкого давления от ГРП №1 на ул. Герцена к жилым домам по ул. Герцена, Кошевого, Пионерская, Малый переулок, Овражный переулок, Коммунальная, Суворова, Слепцова, Кириллова, </w:t>
      </w:r>
      <w:proofErr w:type="spellStart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Секундова</w:t>
      </w:r>
      <w:proofErr w:type="spellEnd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Рабочая, Ленина, Новая, Набережный переулок до ул. Островского </w:t>
      </w:r>
      <w:proofErr w:type="spellStart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.С</w:t>
      </w:r>
      <w:proofErr w:type="gramEnd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ердобск</w:t>
      </w:r>
      <w:proofErr w:type="spellEnd"/>
      <w:r w:rsidR="00E56D6F" w:rsidRPr="00E56D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8270.9 м, инв. 2587</w:t>
      </w:r>
      <w:r w:rsidRPr="00E56D6F">
        <w:rPr>
          <w:rFonts w:ascii="Times New Roman" w:hAnsi="Times New Roman" w:cs="Times New Roman"/>
          <w:sz w:val="28"/>
          <w:szCs w:val="28"/>
        </w:rPr>
        <w:t>»</w:t>
      </w:r>
    </w:p>
    <w:p w:rsidR="004C3324" w:rsidRPr="009931E2" w:rsidRDefault="004C3324" w:rsidP="004C3324">
      <w:pPr>
        <w:spacing w:after="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24" w:rsidRPr="009931E2" w:rsidRDefault="004C3324" w:rsidP="004C33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6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подп. 5 ст. 39.38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39.43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</w:t>
      </w:r>
      <w:hyperlink r:id="rId8" w:history="1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3.6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город Сердобск муниципального района Сердобский район 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ходатайство АО «Газпром газораспределение Пенза», в лице представителя Летучева Н.Н., действующего на основании доверенности №73 от 21.07.2022 г.,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proofErr w:type="gramEnd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 публичного сервитута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ввиду отсутствия заявлений иных лиц, являющихся правообладателями земельных участков об учете их прав (обременений прав), в рамках полномочий, предусмотренных п.4 ст. 39.38 Земельного кодекса Российской Федерации</w:t>
      </w:r>
      <w:r w:rsidRPr="0099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gramEnd"/>
    </w:p>
    <w:p w:rsidR="004C3324" w:rsidRPr="009931E2" w:rsidRDefault="004C3324" w:rsidP="004C3324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24" w:rsidRPr="009931E2" w:rsidRDefault="004C3324" w:rsidP="004C3324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АДМИНИСТРАЦИЯ ГОРОДА СЕРДОБСКА ПОСТАНОВЛЯЕТ:</w:t>
      </w:r>
    </w:p>
    <w:p w:rsidR="004C3324" w:rsidRPr="009931E2" w:rsidRDefault="004C3324" w:rsidP="004C33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324" w:rsidRPr="00E90AB0" w:rsidRDefault="004C3324" w:rsidP="004C33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B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публичный сервитут на следующих условиях:</w:t>
      </w:r>
    </w:p>
    <w:p w:rsidR="004C3324" w:rsidRPr="008155E3" w:rsidRDefault="004C3324" w:rsidP="004C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целью установления публичного сервитута является в соответствии с п. 1 ст. 39.37 Земельного Кодекса Российской Федерации, п. 3 ст. 3.6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размещение линейного объекта системы газоснабжения: 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D38DD" w:rsidRPr="00AD38DD">
        <w:rPr>
          <w:rFonts w:ascii="Times New Roman" w:hAnsi="Times New Roman" w:cs="Times New Roman"/>
          <w:bCs/>
          <w:sz w:val="28"/>
          <w:szCs w:val="28"/>
        </w:rPr>
        <w:t>С</w:t>
      </w:r>
      <w:r w:rsidR="00AD38DD" w:rsidRPr="00AD38DD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 «</w:t>
      </w:r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Газопровод низкого давления от ГРП №1 на ул. Герцена к жилым домам по ул. Герцена, Кошевого, Пионерская, Малый переулок, Овражный переулок, Коммунальная, Суворова, Слепцова, Кириллова, </w:t>
      </w:r>
      <w:proofErr w:type="spellStart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Секундова</w:t>
      </w:r>
      <w:proofErr w:type="spellEnd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Рабочая, Ленина, Новая, Набережный переулок до ул. Островского </w:t>
      </w:r>
      <w:proofErr w:type="spellStart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.С</w:t>
      </w:r>
      <w:proofErr w:type="gramEnd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ердобск</w:t>
      </w:r>
      <w:proofErr w:type="spellEnd"/>
      <w:r w:rsidR="00AD38DD" w:rsidRPr="00AD38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8270.9 м, инв. 2587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324" w:rsidRPr="008155E3" w:rsidRDefault="004C3324" w:rsidP="004C3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лицом, на основании ходатайства которого принято решение об установлении публичного сервитута, является Акционерное общество «Газпром газораспределение Пенза» (АО «Газпром газораспределение Пенза») ОГРН 1025801359858, ИНН 5836611971, юридический адрес: 440602, Пензенская </w:t>
      </w:r>
      <w:proofErr w:type="gramStart"/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область, г. Пенза, ул. М. Горького, д.50 (далее – обладатель публичного сервитута);</w:t>
      </w:r>
      <w:proofErr w:type="gramEnd"/>
    </w:p>
    <w:p w:rsidR="004C3324" w:rsidRPr="008155E3" w:rsidRDefault="004C3324" w:rsidP="004C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публичный сервитут</w:t>
      </w:r>
      <w:r w:rsidR="007F7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общей площадью 17644 кв. м,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отношении</w:t>
      </w:r>
      <w:r w:rsidR="007F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земельных участков с кадастровыми номерами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E07" w:rsidRPr="00810E07" w:rsidRDefault="004C3324" w:rsidP="00810E07">
      <w:pPr>
        <w:spacing w:after="0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 w:rsidR="00810E07"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58:32:0020437:38 – 4,99 </w:t>
      </w:r>
      <w:proofErr w:type="spellStart"/>
      <w:r w:rsidR="00810E07"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="00810E07"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="00810E07"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58:32:0020448:17 – 11,5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58:32:0020445:10 – 5,87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58:32:0000000:495 – 1,78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58:32:0020446:16 – 3,48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58:32:0020446:39 – 5,51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58:32:0020447:18 – 1,93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58:32:0020448:28 – 8,54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58:32:0020448:15 – 3,54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58:32:0020449:2 – 1,28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58:32:0020465:8 – 0,12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58:32:0020454:1 – 34,87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58:32:0020469:29 – 4,8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58:32:0020469:3 – 7,16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58:32:0020470:6 – 16,88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58:32:0020471:64 – 7,09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58:32:0020446:65 (ЕЗ 58:32:0000000:35) – 0,13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58:32:0020446:66 (ЕЗ 58:32:0000000:35) – 0,13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58:32:0020446:67 (ЕЗ 58:32:0000000:35) – 0,13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58:32:0020446:70 (ЕЗ 58:32:0000000:35) – 0,08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58:32:0020447:48 (ЕЗ 58:32:0000000:40) – 0,13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58:32:0020447:47 (ЕЗ 58:32:0000000:40) – 0,13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58:32:0020429:32 (ЕЗ 58:32:0000000:53)– 0,2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58:32:0020452:16 (ЕЗ 58:32:0000000:53)– 0,12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58:32:0020452:25 (ЕЗ 58:32:0000000:53)– 0,11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кв.м</w:t>
      </w:r>
      <w:proofErr w:type="spell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="007F74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Земельного участка  н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еразграниченной муниципальной собственности в кадастровых кварталах: 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bookmarkStart w:id="1" w:name="_Hlk202436397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58:32:0020443 – 41,43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58:32:0020437 – 301,04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58:32:0020445 – 840,86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58:32:0020446 – 1507,99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58:32:0020438 – 296,83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58:32:0020431 – 13,26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58:32:0020432 – 187,62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58:32:0020447 – 1383,95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58:32:0020433 – 101,22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58:32:0020448 – 1088,69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58:32:0020461 – 56,62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58:32:0020462 – 141,6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58:32:0020426 – 1047,38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58:32:0020429 – 637,96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58:32:0020449 – 566,97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58:32:0020450 – 70,07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58:32:0020463 – 316,95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7F74D9" w:rsidRPr="00810E07" w:rsidRDefault="007F74D9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58:32:0020451 – 81,61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58:32:0020464 – 313,06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58:32:0020420 – 2582,42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58:32:0020452 – 484,69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58:32:0020465 – 356,87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58:32:0020453 – 618,56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58:32:0020454 – 1799,42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58:32:0020467 – 5,7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58:32:0020468 – 25,02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58:32:0020469 – 7,32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58:32:0020455 – 496,99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58:32:0020315 – 31,34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58:32:0020470 – 1593,8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810E07" w:rsidRPr="00810E07" w:rsidRDefault="00810E07" w:rsidP="00810E07">
      <w:pPr>
        <w:spacing w:after="0" w:line="240" w:lineRule="auto"/>
        <w:ind w:left="80" w:right="64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58:32:0020471 – 526,07 </w:t>
      </w:r>
      <w:proofErr w:type="spellStart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кв.м</w:t>
      </w:r>
      <w:proofErr w:type="spellEnd"/>
      <w:r w:rsidRPr="00810E0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bookmarkEnd w:id="1"/>
    <w:p w:rsidR="004C3324" w:rsidRPr="00D96CAD" w:rsidRDefault="004C3324" w:rsidP="004C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1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 публичного сервитута 49 (сорок девять) лет (установленный с учетом положения </w:t>
      </w:r>
      <w:hyperlink r:id="rId9" w:history="1">
        <w:r w:rsidRPr="00D96C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подп. 1 ст. 39.45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Федерации);</w:t>
      </w:r>
    </w:p>
    <w:p w:rsidR="004C3324" w:rsidRPr="00D96CAD" w:rsidRDefault="004C3324" w:rsidP="004C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соответствии с </w:t>
      </w:r>
      <w:hyperlink r:id="rId10" w:history="1">
        <w:r w:rsidRPr="000065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ст. 3.6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N 137-ФЗ "О введении в действие Земельного кодекса Российской Федерации" плата за публичный сервитут не взимается;</w:t>
      </w:r>
    </w:p>
    <w:p w:rsidR="004C3324" w:rsidRPr="00D96CAD" w:rsidRDefault="004C3324" w:rsidP="004C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обладатель публичного сервитута обязан привести земельные участки в состояние, пригодное для их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(п. 8 ст. 39.50 Земельного кодекса Российской Федерации).</w:t>
      </w:r>
      <w:proofErr w:type="gramEnd"/>
    </w:p>
    <w:p w:rsidR="004C3324" w:rsidRPr="00D96CAD" w:rsidRDefault="004C3324" w:rsidP="004C3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обладатель публичного сервитута вправе до окончания срока публичного сервитута обратится с ходатайством об установлении публичного сервитута на новый срок.</w:t>
      </w:r>
    </w:p>
    <w:p w:rsidR="004C3324" w:rsidRPr="00717F27" w:rsidRDefault="004C3324" w:rsidP="004C3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границы публичного сервитута согласно Приложению "Схема расположения границ публичного сервитута линейного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095C">
        <w:rPr>
          <w:b/>
          <w:bCs/>
          <w:sz w:val="28"/>
          <w:szCs w:val="28"/>
        </w:rPr>
        <w:t xml:space="preserve"> </w:t>
      </w:r>
      <w:r w:rsidRPr="00C51E2A">
        <w:rPr>
          <w:rFonts w:ascii="Times New Roman" w:hAnsi="Times New Roman" w:cs="Times New Roman"/>
          <w:bCs/>
          <w:sz w:val="28"/>
          <w:szCs w:val="28"/>
        </w:rPr>
        <w:t>«</w:t>
      </w:r>
      <w:r w:rsidR="000C095C" w:rsidRPr="000C095C">
        <w:rPr>
          <w:rFonts w:ascii="Times New Roman" w:hAnsi="Times New Roman" w:cs="Times New Roman"/>
          <w:bCs/>
          <w:sz w:val="28"/>
          <w:szCs w:val="28"/>
        </w:rPr>
        <w:t>С</w:t>
      </w:r>
      <w:r w:rsidR="000C095C" w:rsidRPr="000C095C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 «</w:t>
      </w:r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Газопровод низкого давления от ГРП №1 на ул. Герцена к жилым домам по ул. Герцена, Кошевого, Пионерская, Малый переулок, Овражный переулок, Коммунальная, Суворова, Слепцова, Кириллова, </w:t>
      </w:r>
      <w:proofErr w:type="spellStart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Секундова</w:t>
      </w:r>
      <w:proofErr w:type="spellEnd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Рабочая, Ленина, Новая, Набережный переулок до ул. Островского </w:t>
      </w:r>
      <w:proofErr w:type="spellStart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.С</w:t>
      </w:r>
      <w:proofErr w:type="gramEnd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ердобск</w:t>
      </w:r>
      <w:proofErr w:type="spellEnd"/>
      <w:r w:rsidR="000C095C" w:rsidRP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8270.9 м, инв. 2587</w:t>
      </w:r>
      <w:r w:rsidR="000C09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настоящему постановлению.</w:t>
      </w:r>
    </w:p>
    <w:p w:rsidR="004C3324" w:rsidRPr="00717F27" w:rsidRDefault="004C3324" w:rsidP="004C3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пяти рабочих дней со дня принятия настоящего постановления опубликовать его в информационном бюллетене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Сердобска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Сердобска Сердобского района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в информационно-телекоммуникационной сети «Интернет»".</w:t>
      </w:r>
    </w:p>
    <w:p w:rsidR="004C3324" w:rsidRPr="00717F27" w:rsidRDefault="004C3324" w:rsidP="004C3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течение пяти рабочих дней со дня принятия настоящего постановления обеспечить направление его копий правообладателям земельных участков, в отношении которых устанавливается публичный сервитут, в орган регистрации прав и обладателю публичного сервитута, также обеспечить направление обладателю публичного сервитута сведений о лицах, являющихся правообладателями земельных участков.</w:t>
      </w:r>
    </w:p>
    <w:p w:rsidR="004C3324" w:rsidRPr="00717F27" w:rsidRDefault="004C3324" w:rsidP="004C3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:rsidR="004C3324" w:rsidRPr="00717F27" w:rsidRDefault="004C3324" w:rsidP="004C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</w:t>
      </w:r>
      <w:proofErr w:type="gramStart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возложить 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324" w:rsidRPr="006F68BC" w:rsidRDefault="004C3324" w:rsidP="004C33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C3324" w:rsidRPr="009931E2" w:rsidRDefault="004C3324" w:rsidP="004C3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324" w:rsidRPr="009931E2" w:rsidRDefault="004C3324" w:rsidP="004C3324">
      <w:pPr>
        <w:autoSpaceDE w:val="0"/>
        <w:autoSpaceDN w:val="0"/>
        <w:adjustRightInd w:val="0"/>
        <w:spacing w:after="0" w:line="240" w:lineRule="auto"/>
        <w:ind w:right="55"/>
        <w:rPr>
          <w:rFonts w:ascii="Times New Roman" w:eastAsia="Times New Roman" w:hAnsi="Times New Roman" w:cs="Wingdings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 xml:space="preserve">Глава  администрации                      </w:t>
      </w:r>
      <w:r w:rsidRPr="009931E2">
        <w:rPr>
          <w:rFonts w:ascii="Courier New" w:eastAsia="Times New Roman" w:hAnsi="Courier New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</w:t>
      </w: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>М. А. Ермакова</w:t>
      </w:r>
    </w:p>
    <w:p w:rsidR="004C3324" w:rsidRDefault="004C3324" w:rsidP="004C3324"/>
    <w:p w:rsidR="00B45268" w:rsidRDefault="00B45268">
      <w:bookmarkStart w:id="2" w:name="_GoBack"/>
      <w:bookmarkEnd w:id="2"/>
    </w:p>
    <w:sectPr w:rsidR="00B45268" w:rsidSect="007F74D9">
      <w:pgSz w:w="11906" w:h="16838"/>
      <w:pgMar w:top="567" w:right="79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8D"/>
    <w:rsid w:val="000C095C"/>
    <w:rsid w:val="000D738D"/>
    <w:rsid w:val="004C3324"/>
    <w:rsid w:val="005F6B2A"/>
    <w:rsid w:val="007F74D9"/>
    <w:rsid w:val="00810E07"/>
    <w:rsid w:val="00AD38DD"/>
    <w:rsid w:val="00B45268"/>
    <w:rsid w:val="00E56D6F"/>
    <w:rsid w:val="00EE1B4A"/>
    <w:rsid w:val="00F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B18E61D5DDE7DD2F600C0A3B44B345F00558A2BBD2DA2EC623DE7C91112380E72124577D1E3A59B89122F71729FC9E93BBB1EF1P3n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7076D14AE0EFD31B80E2125F110909BF4C3C6DFBD4EAC79D9F78860FC2549E5F1AAA6F9E34D93806E802262ADB870BCAFF2D9C5FE9WCT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076D14AE0EFD31B80E2125F110909BF4C3C6DFBD4EAC79D9F78860FC2549E5F1AAA6F9F36DB3806E802262ADB870BCAFF2D9C5FE9WCT7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1A22256F9D9EFF51101A148A384562AA4C7418FC4E659EB7DD693C2BC08C9A3636EFD48655E64E1C2BE40B9C78D52C00C6C7AF2AFe9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C732BC3F922D57D2E030093FE12B80CD0ED94FDEDA9050B6DB3B544897A275C27955EFDD5B1034A5BF1AE3D0CEDAFD33A3D847D71pC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Igicco</cp:lastModifiedBy>
  <cp:revision>9</cp:revision>
  <cp:lastPrinted>2025-09-02T12:24:00Z</cp:lastPrinted>
  <dcterms:created xsi:type="dcterms:W3CDTF">2025-08-27T10:17:00Z</dcterms:created>
  <dcterms:modified xsi:type="dcterms:W3CDTF">2025-09-02T13:27:00Z</dcterms:modified>
</cp:coreProperties>
</file>